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E90DF6">
        <w:rPr>
          <w:rFonts w:asciiTheme="minorHAnsi" w:hAnsiTheme="minorHAnsi" w:cstheme="minorHAnsi"/>
          <w:b/>
          <w:bCs/>
        </w:rPr>
        <w:t>1e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E069F6">
        <w:rPr>
          <w:rFonts w:asciiTheme="minorHAnsi" w:hAnsiTheme="minorHAnsi" w:cstheme="minorHAnsi"/>
          <w:b/>
        </w:rPr>
        <w:t>1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E90DF6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Style w:val="Tabela-Siatka"/>
        <w:tblW w:w="0" w:type="auto"/>
        <w:tblLook w:val="04A0"/>
      </w:tblPr>
      <w:tblGrid>
        <w:gridCol w:w="1260"/>
        <w:gridCol w:w="1694"/>
        <w:gridCol w:w="1785"/>
        <w:gridCol w:w="1434"/>
        <w:gridCol w:w="1640"/>
        <w:gridCol w:w="1475"/>
      </w:tblGrid>
      <w:tr w:rsidR="00E069F6" w:rsidTr="006168B5">
        <w:trPr>
          <w:trHeight w:val="365"/>
        </w:trPr>
        <w:tc>
          <w:tcPr>
            <w:tcW w:w="2332" w:type="dxa"/>
            <w:vMerge w:val="restart"/>
          </w:tcPr>
          <w:p w:rsidR="00E069F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E069F6" w:rsidTr="006168B5">
        <w:trPr>
          <w:trHeight w:val="415"/>
        </w:trPr>
        <w:tc>
          <w:tcPr>
            <w:tcW w:w="2332" w:type="dxa"/>
            <w:vMerge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755100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E069F6" w:rsidTr="006168B5"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bioinformatyka</w:t>
            </w:r>
            <w:proofErr w:type="spellEnd"/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E069F6" w:rsidTr="006168B5"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kontrolna,wniosek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odróżnia fakty od opinii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E069F6" w:rsidTr="006168B5">
        <w:tc>
          <w:tcPr>
            <w:tcW w:w="2332" w:type="dxa"/>
          </w:tcPr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lastRenderedPageBreak/>
              <w:t>3. Obserwacje biologiczne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5C22F4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mikroelementów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Znaczenie wody 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Węglowodany – budowa 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funkcje białek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Właściwości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denaturację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kwasównukleinowych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budujące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Komórka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prokariotyczne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endocytoza 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roztwórhipertoniczny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endocytozę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osmotycznych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egzocytozą</w:t>
            </w:r>
            <w:proofErr w:type="spellEnd"/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Budowa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składniki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funkcje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Golgiego,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 xml:space="preserve">składników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Cykl 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komórką diploidalną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opisuje efekty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zmiany zawartości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4. Metabolizm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nośniki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w jaki sposób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Budowa i działanie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ujemnesprzężenie 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podaje rolę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wpływ temperatury,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wymienia organizmy przeprowadzając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porównuje drogi przemian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pirogronianu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glukoneogeneza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acetylo-CoA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glikogenolizą, oddychaniem tlenowym oraz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E90DF6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E90DF6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</w:r>
      <w:r w:rsidRPr="0074092B">
        <w:rPr>
          <w:rFonts w:cstheme="minorHAnsi"/>
          <w:color w:val="000000"/>
          <w:sz w:val="24"/>
          <w:szCs w:val="24"/>
        </w:rPr>
        <w:lastRenderedPageBreak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E90DF6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E90DF6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E90DF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E90DF6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E90DF6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E90DF6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E90DF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E90DF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E90D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E90DF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5E3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23670D"/>
    <w:rsid w:val="00304BCF"/>
    <w:rsid w:val="00360221"/>
    <w:rsid w:val="00373833"/>
    <w:rsid w:val="004D73C6"/>
    <w:rsid w:val="004E6447"/>
    <w:rsid w:val="005E39F1"/>
    <w:rsid w:val="006B1259"/>
    <w:rsid w:val="006C3D8A"/>
    <w:rsid w:val="0074092B"/>
    <w:rsid w:val="008F26FB"/>
    <w:rsid w:val="009046F5"/>
    <w:rsid w:val="00947C8D"/>
    <w:rsid w:val="00AF64A4"/>
    <w:rsid w:val="00B139C5"/>
    <w:rsid w:val="00BE4CE2"/>
    <w:rsid w:val="00C25FD5"/>
    <w:rsid w:val="00D6438A"/>
    <w:rsid w:val="00E069F6"/>
    <w:rsid w:val="00E574EF"/>
    <w:rsid w:val="00E90DF6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9F1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7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4281</Words>
  <Characters>25690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2025-08-29T14:24:00Z</dcterms:created>
  <dcterms:modified xsi:type="dcterms:W3CDTF">2025-09-02T05:50:00Z</dcterms:modified>
</cp:coreProperties>
</file>